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 cannot be overestimated. Not only are they key decomposers, they also provide food and digestive aid to many animals, and most plants rely on fungi living in their roots for minerals, nutrients and protection. This relationship between plants and fungi is what is known as a mycorrhizal symbiosis. One group of plants, the Orchidaceae, are particularly reliant on this symbiosis, as their seeds do not contain nutritional resources and are obligately dependent on a fungal symbiont to provide nutrients in order to germinate and reach phosynthetic stage. Despite this importance, the ecological processes that influence the distribution of fungi, and the associated environmental and biotic factors, are still unclear.</w:t>
      </w:r>
    </w:p>
    <w:p>
      <w:pPr>
        <w:pStyle w:val="BodyText"/>
      </w:pPr>
      <w:r>
        <w:t xml:space="preserve">Fungi are often invisible to human eye and the soil is a very complex system, containing many organisms. By sampling the specific obligate fungi that live in the orchid roots, orchid mycorrhizal funghi (OrM) we can explore the ecological mechanisms that contribute to their distribution.</w:t>
      </w:r>
    </w:p>
    <w:p>
      <w:pPr>
        <w:pStyle w:val="BodyText"/>
      </w:pPr>
      <w:r>
        <w:t xml:space="preserve">In this study I constructed a database of all known European OrM and used a combination of phylogenetic analysis, multivariate analysis and hierarchical species distribution modelling. I found that OrM families were phylogenetically distinct, but that OTUs were poorly resolved. Multivariate analysis revealed that precipitation and soil chemical variables (mainly potassium) were important in determining the distribution of OrM. Hierarchical species distribution modelling revealed that most OrM taxa had either positive or negative residual cooccurrence, indicating that ecological mechanisms such as competition and facilitation may be important to explain the distribution of OrM. The results presented here represent a useful starting point for detailed experiments for understanding important belowground interactions and conservation of soil biodiversity.</w:t>
      </w:r>
    </w:p>
    <w:p>
      <w:pPr>
        <w:pStyle w:val="BodyText"/>
      </w:pPr>
      <w:r>
        <w:rPr>
          <w:b/>
        </w:rPr>
        <w:t xml:space="preserve">Keywords:</w:t>
      </w:r>
      <w:r>
        <w:t xml:space="preserve"> </w:t>
      </w:r>
      <w:r>
        <w:rPr>
          <w:i/>
        </w:rPr>
        <w:t xml:space="preserve">fungal ecology, mycorrhizas, orchidaceae, hierarchical model of species community, joint species distribution model</w:t>
      </w:r>
    </w:p>
    <w:p>
      <w:pPr>
        <w:pStyle w:val="Heading2"/>
      </w:pPr>
      <w:bookmarkStart w:id="21" w:name="riassunto"/>
      <w:r>
        <w:t xml:space="preserve">Riassunto</w:t>
      </w:r>
      <w:bookmarkEnd w:id="21"/>
    </w:p>
    <w:p>
      <w:pPr>
        <w:pStyle w:val="FirstParagraph"/>
      </w:pPr>
      <w:r>
        <w:t xml:space="preserve">L’importanza dei funghi negli ecosistemi non può essere sovrastimata. Oltre ad essere decompositori chiave, forniscono cibo e supporto digestivo a molti animali, mentre la maggior parte delle piante dipende dai funghi che vivono nelle loro radici per minerali, nutrienti e protezione. Questa relazione tra piante è funghi è nota come simbiosi micorrizica e un gruppo di piante, le Orchidaceae, sono particolarmente dipendenti da questa simbiosi. I loro semi non contengono nutrienti e dipendono dai funghi per ottenere i nutrienti necessari alla germinazione e al raggiungimento dello stadio fotosintentico. Nonostante ciò, i processi ecologici che influenzano la distribuzione dei funghi, e i fattori ambientali e biotici associati, sono ancora poco chiari.</w:t>
      </w:r>
    </w:p>
    <w:p>
      <w:pPr>
        <w:pStyle w:val="BodyText"/>
      </w:pPr>
      <w:r>
        <w:t xml:space="preserve">I funghi sono solitamente invisibili all’occhio umano e il suolo è un sistema molto complesso, in cui vivono molti organismi. Campionando i funghi che vivono nel sistema radicale delle orchidee, i funghi micorrizici delle orchidee (FMO), possiamo esplorare i meccanismi ecologici che contribuiscono alla loro distribuzione.</w:t>
      </w:r>
    </w:p>
    <w:p>
      <w:pPr>
        <w:pStyle w:val="BodyText"/>
      </w:pPr>
      <w:r>
        <w:t xml:space="preserve">In questo studio ho costruito un database di tutti i funghi micorrizici conosciuti in Europa e ho usato una combinazione di analisi filogenetica, analisi multivariata e modellistica gerarchica di distribuzione delle specie. Ho trovato che le famiglie di FMO sono filogeneticamente distinte, ma a livello delle unità tassonomiche operative (OTU) i risultati non sono ben risolti. L’analisi multivariata ha rivelato che le precipitazioni e le caratteristiche chimiche del suolo (principalmente il potassio) sono importanti nel determinare la distribuzione dei FMO. La modellistica gerarchica di distribuzione delle specie ha rivelato che la maggior parte dei taxa di FMO hanno una correlazione nella presenza, positiva o negativa, a indicazione che meccanismi ecologici come competizione e facilitazione potrebbero essere importanti per spiegare la distribuzione dei FMO. I risultati presentati rappresentano un utile punto di partenza per futuri esperimenti e per comprendere importanti interazioni nel suolo e la conservazione della biodiversità.</w:t>
      </w:r>
    </w:p>
    <w:p>
      <w:pPr>
        <w:pStyle w:val="BodyText"/>
      </w:pPr>
      <w:r>
        <w:rPr>
          <w:b/>
        </w:rPr>
        <w:t xml:space="preserve">Parole chiave:</w:t>
      </w:r>
      <w:r>
        <w:t xml:space="preserve"> </w:t>
      </w:r>
      <w:r>
        <w:rPr>
          <w:i/>
        </w:rPr>
        <w:t xml:space="preserve">ecologia dei funghi, micorrize, orchidaceae, hierarchical model of species community, joint species distribution model</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which limited our understanding of what represents a species in this group.</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The earliest fossil with the morphological features of a fungus is dated to around 1 billion years ago, and was found in the Canadian Arctica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georeferenced population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Geographical distribution of sampling locations of members from OrM families used in this study (Basemap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Geographical distribution of sampling locations of members from OrM families used in this study</w:t>
      </w:r>
      <w:r>
        <w:t xml:space="preserve"> </w:t>
      </w:r>
      <w:r>
        <w:t xml:space="preserve">(Basemap 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OrM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OrM family</w:t>
      </w:r>
    </w:p>
    <w:p>
      <w:pPr>
        <w:pStyle w:val="BodyText"/>
      </w:pPr>
      <w:r>
        <w:t xml:space="preserve">A final matrix was obtained by using the single families/OTUs as rows and removing orchid species as a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which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 samples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low bootstrap support (see Appendix II).</w:t>
      </w:r>
    </w:p>
    <w:p>
      <w:pPr>
        <w:pStyle w:val="Heading2"/>
      </w:pPr>
      <w:bookmarkStart w:id="34" w:name="pca"/>
      <w:r>
        <w:t xml:space="preserve">PCA</w:t>
      </w:r>
      <w:bookmarkEnd w:id="34"/>
    </w:p>
    <w:p>
      <w:pPr>
        <w:pStyle w:val="FirstParagraph"/>
      </w:pPr>
      <w:r>
        <w:t xml:space="preserve">The PCA analysis on the presence-absence matrix of OrM OTUs and the environmental variables combined showed how there is a substantial overlap of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w:t>
      </w:r>
    </w:p>
    <w:p>
      <w:pPr>
        <w:pStyle w:val="CaptionedFigure"/>
      </w:pPr>
      <w:r>
        <w:drawing>
          <wp:inline>
            <wp:extent cx="5334000" cy="4170807"/>
            <wp:effectExtent b="0" l="0" r="0" t="0"/>
            <wp:docPr descr="PCA output on of all seven OrM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output on of all seven OrM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 Stress value is close to zero (0.0003), which means that the results are robust (or that we have insufficient data).</w:t>
      </w:r>
    </w:p>
    <w:p>
      <w:pPr>
        <w:pStyle w:val="CaptionedFigure"/>
      </w:pPr>
      <w:r>
        <w:drawing>
          <wp:inline>
            <wp:extent cx="5334000" cy="4432554"/>
            <wp:effectExtent b="0" l="0" r="0" t="0"/>
            <wp:docPr descr="NMDS output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output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average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remains for all families but Ceratobasidiaceae, which had more complex correlations, both positive and negative.</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 not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also has inverse correlation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family were less clear-cut, showing different correlations for different OTUs in the same family, giving an idea of the diversity that can happen also at low taxonomic levels.</w:t>
      </w:r>
      <w:r>
        <w:t xml:space="preserve"> </w:t>
      </w:r>
      <w:r>
        <w:t xml:space="preserve">It is worthy of notice that Tulasnellaceae showed again the least amount of internal differences.</w:t>
      </w:r>
    </w:p>
    <w:p>
      <w:pPr>
        <w:pStyle w:val="CaptionedFigure"/>
      </w:pPr>
      <w:r>
        <w:drawing>
          <wp:inline>
            <wp:extent cx="4438185" cy="5341434"/>
            <wp:effectExtent b="0" l="0" r="0" t="0"/>
            <wp:docPr descr="HMSC output with the 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HMSC output with the 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w:t>
      </w:r>
    </w:p>
    <w:p>
      <w:pPr>
        <w:pStyle w:val="CaptionedFigure"/>
      </w:pPr>
      <w:r>
        <w:drawing>
          <wp:inline>
            <wp:extent cx="4255149" cy="3978703"/>
            <wp:effectExtent b="0" l="0" r="0" t="0"/>
            <wp:docPr descr="The relative importance (proportion of variance explained) of each fixed and random effect on the distributions of the 49 OTUs used in the HMSC analysis. OTU order follows the output of Fig. 6."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The relative importance (proportion of variance explained) of each fixed and random effect on the distributions of the 49 OTUs used in the HMSC analysis. OTU order follows the output of Fig. 6.</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phylogenetic analysis, multivariate analysis and hierarchical/joint species distribution modelling techniques. I found that, overall, both PCA and NMDS grouped together the OrM identified from different orchid species. This would support the idea of the OrM as being as being generalist, in that they have broad distributions, but they associate with different orchid species. The extent to which orchids have specialized or generalized relationships with OrM is a still ongoing debate  </w:t>
      </w:r>
      <w:r>
        <w:t xml:space="preserve">(Bailarote, Lievens, and Jacquemyn 2012)</w:t>
      </w:r>
      <w:r>
        <w:t xml:space="preserve">.</w:t>
      </w:r>
    </w:p>
    <w:p>
      <w:pPr>
        <w:pStyle w:val="BodyText"/>
      </w:pPr>
      <w:r>
        <w:t xml:space="preserve">The phylogenetic analysis yielded low resolution results between individual OTUs from different OrM families. This was likely due to the different methods used to obtain the sequences, as the different primers allowed to polymerize different DNA areas, with only a partial overlap; this, coupled with the different trimming of the sequences done by the authors can explain the poor quality matrix that was so obtained. This piece of data would be crucial in properly understanding and framing the ecological evidence.</w:t>
      </w:r>
    </w:p>
    <w:p>
      <w:pPr>
        <w:pStyle w:val="BodyText"/>
      </w:pPr>
      <w:r>
        <w:t xml:space="preserve">In the PCA most of the variance was explained by two variables, soil potassium and maximum precipitation of the wettest quarter, which means that those variables contribute the most to the definition of the niche of the OrM and that the orchids occur in places highly differentiated in those parameters. This could also be the result of the very broad sampling, and more research should be done on a smaller scale, as the potassium levels can dramatically vary even in a very small plot, often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probably because of the few sampled points (eleven); this is in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is likely Ceratobasidiaceae OTUs to co-occur. In some other cases, there is a zero correlation, so they do not influence each other’s presence. This is interesting as the most broadly sampled orchid included in this study,</w:t>
      </w:r>
      <w:r>
        <w:t xml:space="preserve"> </w:t>
      </w:r>
      <w:r>
        <w:rPr>
          <w:i/>
        </w:rPr>
        <w:t xml:space="preserve">Spiranthes spiralis</w:t>
      </w:r>
      <w:r>
        <w:t xml:space="preserve">,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shows no residual correlations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Variance partitioning for each OTUs of all the environmental values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The phylogenetic analysis didn’t give significative results. This was likely due to the different methods used to obtain the sequences, as the different primers allowed to polymerize different DNA areas, with only a partial overlap; this, coupled with the different trimming of the sequences done by the authors can explain the poor quality matrix that was so obtained.</w:t>
      </w:r>
      <w:r>
        <w:t xml:space="preserve"> </w:t>
      </w:r>
      <w:r>
        <w:t xml:space="preserve">This piece of data would be crucial in properly understanding and framing the ecological evidence.</w:t>
      </w:r>
    </w:p>
    <w:p>
      <w:pPr>
        <w:pStyle w:val="BodyText"/>
      </w:pPr>
      <w:r>
        <w:t xml:space="preserve">Do similar OrM taxa occur in similar habitats and have similar environmental preferences? Some taxa do, and in the same family there are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 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BodyText"/>
      </w:pPr>
      <w:r>
        <w:t xml:space="preserve">These kind of studies are important for the understanding and protection of taxa that are not yet described. As I investigated OTUs in this study, it is not clear whether these taxa are true species. Improving soil ecosystem health is not something we can successfully do without knowing the key elements that allow important taxa such as fungi to function. Presently there is limited georeferenced studies that allow the pinpointing of mycorrhizal fungi in general to specific locations, resulting difficulty in performing analyses such as presented in this thesis. The understanding of OrM ecology will always be incomplete without a better knowledge of the taxonomy of OrM. We lack a robust phylogenetic framework that allows adequate assessment of the phylogenetic relationships between fungal strains. This would need to start from a species concept for OrM  </w:t>
      </w:r>
      <w:r>
        <w:t xml:space="preserve">(Jacquemyn, Duffy, and Selosse 2017)</w:t>
      </w:r>
      <w:r>
        <w:t xml:space="preserve">. Without this knowledge, we have limited ability to shed light on the evolutionary history of these OrM groups.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work. The use of hierarchical distribution models in this thesis was a useful instrument to untangle the correlation between the OTUs and the environmental variables, and I have little doubt that in the future more work will be done using these tools.</w:t>
      </w:r>
    </w:p>
    <w:p>
      <w:pPr>
        <w:pStyle w:val="BodyText"/>
      </w:pPr>
      <w:r>
        <w:t xml:space="preserve">These kind of studies are of crucial importance for the understanding and protection of species we may not even know yet. Improving the ecosystem is not something we can successfully do without knowing the key elements that allow them to function, and fungi surely are part of this category. These studies are heavily reliant on data, which must be accurate and abundant. Presently there is limited properly georeferenced studies that allow the pinpointing of genetic sequences to places, resulting in gappy databases and in a difficulty reproducing the analysis.</w:t>
      </w:r>
      <w:r>
        <w:t xml:space="preserve"> </w:t>
      </w:r>
      <w:r>
        <w:t xml:space="preserve">Furthermore, gathering the data the way I’ve done is mostly a manual process, with huge cost in terms of time and resources. More transparent analysis with an accessible, standardize and rich metadata structure are of the uttermost importance for a significant progress of knowledge in the understanding of ecology and distribution of OrM  </w:t>
      </w:r>
      <w:r>
        <w:t xml:space="preserve">(Powers and Hampton 2019)</w:t>
      </w:r>
      <w:r>
        <w:t xml:space="preserve">, and for scientific studies in general.</w:t>
      </w:r>
    </w:p>
    <w:p>
      <w:pPr>
        <w:pStyle w:val="BodyText"/>
      </w:pPr>
      <w:r>
        <w:t xml:space="preserve">The understanding of OrM ecology will always be incomplete without a better knowledge of the taxonomy of OrM. We lack an acceptable phylogenetic framework that allows adequate assessment of the phylogenetic relationships between fungal strains. This would need to start from a robust species concept for OrM  </w:t>
      </w:r>
      <w:r>
        <w:t xml:space="preserve">(Jacquemyn, Duffy, and Selosse 2017)</w:t>
      </w:r>
      <w:r>
        <w:t xml:space="preserve">. Without this knowledge, patterns may emerge from analysis but we can’t infer them to groups or use them to shed light on the evolutionary history of the groups.</w:t>
      </w:r>
    </w:p>
    <w:p>
      <w:pPr>
        <w:pStyle w:val="BodyText"/>
      </w:pPr>
      <w:r>
        <w:t xml:space="preserve">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Heading1"/>
      </w:pPr>
      <w:bookmarkStart w:id="44" w:name="appendices"/>
      <w:r>
        <w:t xml:space="preserve">Appendices</w:t>
      </w:r>
      <w:bookmarkEnd w:id="44"/>
    </w:p>
    <w:p>
      <w:pPr>
        <w:pStyle w:val="Heading2"/>
      </w:pPr>
      <w:bookmarkStart w:id="45" w:name="appendixi:additionalresourcesandinformation"/>
      <w:r>
        <w:t xml:space="preserve">Appendix I: 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Unless differently specified, the present work copyright is held by Manuel Moscariello (manuel@arteteco.com) and is released under the Creative Commons Attribution 4.0 International License. To view a copy of this license, visit http://creativecommons.org/licenses/by/4.0/or send a letter to Creative Commons, PO Box 1866, Mountain View, CA 94042, USA.</w:t>
      </w:r>
    </w:p>
    <w:p>
      <w:pPr>
        <w:pStyle w:val="BodyText"/>
      </w:pPr>
      <w:r>
        <w:t xml:space="preserve">The logo of the university in the frontispiece is trademark by Università degli Studi di Napoli Federico II - Corso Umberto I 40 - 80138 Napoli (contactcenter@unina.it, PEC: ateneo@pec.unina.it)</w:t>
      </w:r>
    </w:p>
    <w:p>
      <w:pPr>
        <w:pStyle w:val="BodyText"/>
      </w:pPr>
      <w:r>
        <w:t xml:space="preserve">Base satellite map on page 16 is ©2021 TerraMetrics, Map data ©2021GeoBasis-DE/BKG (©2009), Google, Inst Geogr. Nacional</w:t>
      </w:r>
    </w:p>
    <w:p>
      <w:pPr>
        <w:pStyle w:val="Heading2"/>
      </w:pPr>
      <w:bookmarkStart w:id="46" w:name="appendixii:analysisresults"/>
      <w:r>
        <w:t xml:space="preserve">Appendix II: Analysis results</w:t>
      </w:r>
      <w:bookmarkEnd w:id="46"/>
    </w:p>
    <w:p>
      <w:pPr>
        <w:pStyle w:val="FirstParagraph"/>
      </w:pPr>
      <w:r>
        <w:t xml:space="preserve">The following graphs are the phylogenetic trees, NMDS and PCA plots</w:t>
      </w:r>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p>
      <w:pPr>
        <w:pStyle w:val="CaptionedFigure"/>
      </w:pPr>
      <w:r>
        <w:drawing>
          <wp:inline>
            <wp:extent cx="5334000" cy="7542708"/>
            <wp:effectExtent b="0" l="0" r="0" t="0"/>
            <wp:docPr descr="NMDS of Ceratobasidiaceae and Inocybaceae" title="" id="1" name="Picture"/>
            <a:graphic>
              <a:graphicData uri="http://schemas.openxmlformats.org/drawingml/2006/picture">
                <pic:pic>
                  <pic:nvPicPr>
                    <pic:cNvPr descr="images/NMDScerino.png" id="0" name="Picture"/>
                    <pic:cNvPicPr>
                      <a:picLocks noChangeArrowheads="1" noChangeAspect="1"/>
                    </pic:cNvPicPr>
                  </pic:nvPicPr>
                  <pic:blipFill>
                    <a:blip r:embed="rId49"/>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Ceratobasidiaceae and Inocybaceae</w:t>
      </w:r>
    </w:p>
    <w:p>
      <w:pPr>
        <w:pStyle w:val="CaptionedFigure"/>
      </w:pPr>
      <w:r>
        <w:drawing>
          <wp:inline>
            <wp:extent cx="5334000" cy="7542708"/>
            <wp:effectExtent b="0" l="0" r="0" t="0"/>
            <wp:docPr descr="NMDS of Russulaceae and Sebacinaceae" title="" id="1" name="Picture"/>
            <a:graphic>
              <a:graphicData uri="http://schemas.openxmlformats.org/drawingml/2006/picture">
                <pic:pic>
                  <pic:nvPicPr>
                    <pic:cNvPr descr="images/NMDSrusseb.png" id="0" name="Picture"/>
                    <pic:cNvPicPr>
                      <a:picLocks noChangeArrowheads="1" noChangeAspect="1"/>
                    </pic:cNvPicPr>
                  </pic:nvPicPr>
                  <pic:blipFill>
                    <a:blip r:embed="rId50"/>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Russulaceae and Sebacinaceae</w:t>
      </w:r>
    </w:p>
    <w:p>
      <w:pPr>
        <w:pStyle w:val="CaptionedFigure"/>
      </w:pPr>
      <w:r>
        <w:drawing>
          <wp:inline>
            <wp:extent cx="5334000" cy="7542708"/>
            <wp:effectExtent b="0" l="0" r="0" t="0"/>
            <wp:docPr descr="NMDS of Serendipitaceae and Theleophoraceae" title="" id="1" name="Picture"/>
            <a:graphic>
              <a:graphicData uri="http://schemas.openxmlformats.org/drawingml/2006/picture">
                <pic:pic>
                  <pic:nvPicPr>
                    <pic:cNvPr descr="images/NMDSserthe.png" id="0" name="Picture"/>
                    <pic:cNvPicPr>
                      <a:picLocks noChangeArrowheads="1" noChangeAspect="1"/>
                    </pic:cNvPicPr>
                  </pic:nvPicPr>
                  <pic:blipFill>
                    <a:blip r:embed="rId51"/>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Serendipitaceae and Theleophoraceae</w:t>
      </w:r>
    </w:p>
    <w:p>
      <w:pPr>
        <w:pStyle w:val="CaptionedFigure"/>
      </w:pPr>
      <w:r>
        <w:drawing>
          <wp:inline>
            <wp:extent cx="5334000" cy="3564221"/>
            <wp:effectExtent b="0" l="0" r="0" t="0"/>
            <wp:docPr descr="NMDS of Tulasnellaceae" title="" id="1" name="Picture"/>
            <a:graphic>
              <a:graphicData uri="http://schemas.openxmlformats.org/drawingml/2006/picture">
                <pic:pic>
                  <pic:nvPicPr>
                    <pic:cNvPr descr="images/NMDStul.png" id="0" name="Picture"/>
                    <pic:cNvPicPr>
                      <a:picLocks noChangeArrowheads="1" noChangeAspect="1"/>
                    </pic:cNvPicPr>
                  </pic:nvPicPr>
                  <pic:blipFill>
                    <a:blip r:embed="rId52"/>
                    <a:stretch>
                      <a:fillRect/>
                    </a:stretch>
                  </pic:blipFill>
                  <pic:spPr bwMode="auto">
                    <a:xfrm>
                      <a:off x="0" y="0"/>
                      <a:ext cx="5334000" cy="3564221"/>
                    </a:xfrm>
                    <a:prstGeom prst="rect">
                      <a:avLst/>
                    </a:prstGeom>
                    <a:noFill/>
                    <a:ln w="9525">
                      <a:noFill/>
                      <a:headEnd/>
                      <a:tailEnd/>
                    </a:ln>
                  </pic:spPr>
                </pic:pic>
              </a:graphicData>
            </a:graphic>
          </wp:inline>
        </w:drawing>
      </w:r>
    </w:p>
    <w:p>
      <w:pPr>
        <w:pStyle w:val="ImageCaption"/>
      </w:pPr>
      <w:r>
        <w:t xml:space="preserve">NMDS of Tulasnellaceae</w:t>
      </w:r>
    </w:p>
    <w:p>
      <w:pPr>
        <w:pStyle w:val="CaptionedFigure"/>
      </w:pPr>
      <w:r>
        <w:drawing>
          <wp:inline>
            <wp:extent cx="5334000" cy="7542708"/>
            <wp:effectExtent b="0" l="0" r="0" t="0"/>
            <wp:docPr descr="PCA of Ceratobasidiaceae and Inocybaceae" title="" id="1" name="Picture"/>
            <a:graphic>
              <a:graphicData uri="http://schemas.openxmlformats.org/drawingml/2006/picture">
                <pic:pic>
                  <pic:nvPicPr>
                    <pic:cNvPr descr="images/PCAcerino.png" id="0" name="Picture"/>
                    <pic:cNvPicPr>
                      <a:picLocks noChangeArrowheads="1" noChangeAspect="1"/>
                    </pic:cNvPicPr>
                  </pic:nvPicPr>
                  <pic:blipFill>
                    <a:blip r:embed="rId53"/>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Ceratobasidiaceae and Inocybaceae</w:t>
      </w:r>
    </w:p>
    <w:p>
      <w:pPr>
        <w:pStyle w:val="CaptionedFigure"/>
      </w:pPr>
      <w:r>
        <w:drawing>
          <wp:inline>
            <wp:extent cx="5334000" cy="7542708"/>
            <wp:effectExtent b="0" l="0" r="0" t="0"/>
            <wp:docPr descr="PCA of Russulaceae and Sebacinaceae" title="" id="1" name="Picture"/>
            <a:graphic>
              <a:graphicData uri="http://schemas.openxmlformats.org/drawingml/2006/picture">
                <pic:pic>
                  <pic:nvPicPr>
                    <pic:cNvPr descr="images/PCArusseb.png" id="0" name="Picture"/>
                    <pic:cNvPicPr>
                      <a:picLocks noChangeArrowheads="1" noChangeAspect="1"/>
                    </pic:cNvPicPr>
                  </pic:nvPicPr>
                  <pic:blipFill>
                    <a:blip r:embed="rId54"/>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Russulaceae and Sebacinaceae</w:t>
      </w:r>
    </w:p>
    <w:p>
      <w:pPr>
        <w:pStyle w:val="CaptionedFigure"/>
      </w:pPr>
      <w:r>
        <w:drawing>
          <wp:inline>
            <wp:extent cx="5334000" cy="7542708"/>
            <wp:effectExtent b="0" l="0" r="0" t="0"/>
            <wp:docPr descr="PCA of Serendipitaceae and Theleophoraceae" title="" id="1" name="Picture"/>
            <a:graphic>
              <a:graphicData uri="http://schemas.openxmlformats.org/drawingml/2006/picture">
                <pic:pic>
                  <pic:nvPicPr>
                    <pic:cNvPr descr="images/PCAserthe.png" id="0" name="Picture"/>
                    <pic:cNvPicPr>
                      <a:picLocks noChangeArrowheads="1" noChangeAspect="1"/>
                    </pic:cNvPicPr>
                  </pic:nvPicPr>
                  <pic:blipFill>
                    <a:blip r:embed="rId55"/>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Serendipitaceae and Theleophoraceae</w:t>
      </w:r>
    </w:p>
    <w:p>
      <w:pPr>
        <w:pStyle w:val="CaptionedFigure"/>
      </w:pPr>
      <w:r>
        <w:drawing>
          <wp:inline>
            <wp:extent cx="5334000" cy="5694661"/>
            <wp:effectExtent b="0" l="0" r="0" t="0"/>
            <wp:docPr descr="PCA of Tulasnellaceae" title="" id="1" name="Picture"/>
            <a:graphic>
              <a:graphicData uri="http://schemas.openxmlformats.org/drawingml/2006/picture">
                <pic:pic>
                  <pic:nvPicPr>
                    <pic:cNvPr descr="images/PCAtul.png" id="0" name="Picture"/>
                    <pic:cNvPicPr>
                      <a:picLocks noChangeArrowheads="1" noChangeAspect="1"/>
                    </pic:cNvPicPr>
                  </pic:nvPicPr>
                  <pic:blipFill>
                    <a:blip r:embed="rId56"/>
                    <a:stretch>
                      <a:fillRect/>
                    </a:stretch>
                  </pic:blipFill>
                  <pic:spPr bwMode="auto">
                    <a:xfrm>
                      <a:off x="0" y="0"/>
                      <a:ext cx="5334000" cy="5694661"/>
                    </a:xfrm>
                    <a:prstGeom prst="rect">
                      <a:avLst/>
                    </a:prstGeom>
                    <a:noFill/>
                    <a:ln w="9525">
                      <a:noFill/>
                      <a:headEnd/>
                      <a:tailEnd/>
                    </a:ln>
                  </pic:spPr>
                </pic:pic>
              </a:graphicData>
            </a:graphic>
          </wp:inline>
        </w:drawing>
      </w:r>
    </w:p>
    <w:p>
      <w:pPr>
        <w:pStyle w:val="ImageCaption"/>
      </w:pPr>
      <w:r>
        <w:t xml:space="preserve">PCA of Tulasnellaceae</w:t>
      </w:r>
    </w:p>
    <w:bookmarkStart w:id="263" w:name="refs"/>
    <w:bookmarkStart w:id="58"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57">
        <w:r>
          <w:rPr>
            <w:rStyle w:val="Hyperlink"/>
          </w:rPr>
          <w:t xml:space="preserve">https://doi.org/10.1046/j.1469-8137.2002.00439.x</w:t>
        </w:r>
      </w:hyperlink>
      <w:r>
        <w:t xml:space="preserve">.</w:t>
      </w:r>
    </w:p>
    <w:bookmarkEnd w:id="58"/>
    <w:bookmarkStart w:id="59" w:name="ref-CITES-1"/>
    <w:p>
      <w:pPr>
        <w:pStyle w:val="Bibliography"/>
      </w:pPr>
      <w:r>
        <w:t xml:space="preserve">“Appendices | CITES.” n.d. https://cites.org/eng/app/appendices.php.</w:t>
      </w:r>
    </w:p>
    <w:bookmarkEnd w:id="59"/>
    <w:bookmarkStart w:id="60"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60"/>
    <w:bookmarkStart w:id="62"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61">
        <w:r>
          <w:rPr>
            <w:rStyle w:val="Hyperlink"/>
          </w:rPr>
          <w:t xml:space="preserve">https://doi.org/10.3732/ajb.1200117</w:t>
        </w:r>
      </w:hyperlink>
      <w:r>
        <w:t xml:space="preserve">.</w:t>
      </w:r>
    </w:p>
    <w:bookmarkEnd w:id="62"/>
    <w:bookmarkStart w:id="64"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63">
        <w:r>
          <w:rPr>
            <w:rStyle w:val="Hyperlink"/>
          </w:rPr>
          <w:t xml:space="preserve">https://doi.org/10.1016/j.geoderma.2019.113912</w:t>
        </w:r>
      </w:hyperlink>
      <w:r>
        <w:t xml:space="preserve">.</w:t>
      </w:r>
    </w:p>
    <w:bookmarkEnd w:id="64"/>
    <w:bookmarkStart w:id="66"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65">
        <w:r>
          <w:rPr>
            <w:rStyle w:val="Hyperlink"/>
          </w:rPr>
          <w:t xml:space="preserve">https://doi.org/10.1007/s12045-016-0421-6</w:t>
        </w:r>
      </w:hyperlink>
      <w:r>
        <w:t xml:space="preserve">.</w:t>
      </w:r>
    </w:p>
    <w:bookmarkEnd w:id="66"/>
    <w:bookmarkStart w:id="67" w:name="ref-berbee1993"/>
    <w:p>
      <w:pPr>
        <w:pStyle w:val="Bibliography"/>
      </w:pPr>
      <w:r>
        <w:t xml:space="preserve">Berbee, Mary L., and John W. Taylor. 1993. “Dating the Evolutionary Radiations of the True Fungi.” https://cdnsciencepub.com/doi/abs/10.1139/b93-131.</w:t>
      </w:r>
    </w:p>
    <w:bookmarkEnd w:id="67"/>
    <w:bookmarkStart w:id="68"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8"/>
    <w:bookmarkStart w:id="70"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9">
        <w:r>
          <w:rPr>
            <w:rStyle w:val="Hyperlink"/>
          </w:rPr>
          <w:t xml:space="preserve">https://doi.org/10.1126/science.289.5486.1884</w:t>
        </w:r>
      </w:hyperlink>
      <w:r>
        <w:t xml:space="preserve">.</w:t>
      </w:r>
    </w:p>
    <w:bookmarkEnd w:id="70"/>
    <w:bookmarkStart w:id="72"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71">
        <w:r>
          <w:rPr>
            <w:rStyle w:val="Hyperlink"/>
          </w:rPr>
          <w:t xml:space="preserve">https://doi.org/10.1016/j.still.2014.07.020</w:t>
        </w:r>
      </w:hyperlink>
      <w:r>
        <w:t xml:space="preserve">.</w:t>
      </w:r>
    </w:p>
    <w:bookmarkEnd w:id="72"/>
    <w:bookmarkStart w:id="74"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73">
        <w:r>
          <w:rPr>
            <w:rStyle w:val="Hyperlink"/>
          </w:rPr>
          <w:t xml:space="preserve">https://doi.org/10.1016/j.tplants.2008.07.001</w:t>
        </w:r>
      </w:hyperlink>
      <w:r>
        <w:t xml:space="preserve">.</w:t>
      </w:r>
    </w:p>
    <w:bookmarkEnd w:id="74"/>
    <w:bookmarkStart w:id="76"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75">
        <w:r>
          <w:rPr>
            <w:rStyle w:val="Hyperlink"/>
          </w:rPr>
          <w:t xml:space="preserve">https://doi.org/10.1126/sciadv.aax7599</w:t>
        </w:r>
      </w:hyperlink>
      <w:r>
        <w:t xml:space="preserve">.</w:t>
      </w:r>
    </w:p>
    <w:bookmarkEnd w:id="76"/>
    <w:bookmarkStart w:id="78"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77">
        <w:r>
          <w:rPr>
            <w:rStyle w:val="Hyperlink"/>
          </w:rPr>
          <w:t xml:space="preserve">https://doi.org/10.1046/j.1469-8137.2002.00397.x</w:t>
        </w:r>
      </w:hyperlink>
      <w:r>
        <w:t xml:space="preserve">.</w:t>
      </w:r>
    </w:p>
    <w:bookmarkEnd w:id="78"/>
    <w:bookmarkStart w:id="79"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9"/>
    <w:bookmarkStart w:id="81"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80">
        <w:r>
          <w:rPr>
            <w:rStyle w:val="Hyperlink"/>
          </w:rPr>
          <w:t xml:space="preserve">https://doi.org/10.1111/j.1469-8137.2008.02533.x</w:t>
        </w:r>
      </w:hyperlink>
      <w:r>
        <w:t xml:space="preserve">.</w:t>
      </w:r>
    </w:p>
    <w:bookmarkEnd w:id="81"/>
    <w:bookmarkStart w:id="83"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82">
        <w:r>
          <w:rPr>
            <w:rStyle w:val="Hyperlink"/>
          </w:rPr>
          <w:t xml:space="preserve">https://doi.org/10.1093/femsec/fiw024</w:t>
        </w:r>
      </w:hyperlink>
      <w:r>
        <w:t xml:space="preserve">.</w:t>
      </w:r>
    </w:p>
    <w:bookmarkEnd w:id="83"/>
    <w:bookmarkStart w:id="84"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84"/>
    <w:bookmarkStart w:id="86"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85">
        <w:r>
          <w:rPr>
            <w:rStyle w:val="Hyperlink"/>
          </w:rPr>
          <w:t xml:space="preserve">https://doi.org/10.11646/phytotaxa.261.3.1</w:t>
        </w:r>
      </w:hyperlink>
      <w:r>
        <w:t xml:space="preserve">.</w:t>
      </w:r>
    </w:p>
    <w:bookmarkEnd w:id="86"/>
    <w:bookmarkStart w:id="88"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87">
        <w:r>
          <w:rPr>
            <w:rStyle w:val="Hyperlink"/>
          </w:rPr>
          <w:t xml:space="preserve">https://doi.org/10.1086/394568</w:t>
        </w:r>
      </w:hyperlink>
      <w:r>
        <w:t xml:space="preserve">.</w:t>
      </w:r>
    </w:p>
    <w:bookmarkEnd w:id="88"/>
    <w:bookmarkStart w:id="89"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9"/>
    <w:bookmarkStart w:id="91"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90">
        <w:r>
          <w:rPr>
            <w:rStyle w:val="Hyperlink"/>
          </w:rPr>
          <w:t xml:space="preserve">https://doi.org/10.1007/978-3-642-30826-0_12</w:t>
        </w:r>
      </w:hyperlink>
      <w:r>
        <w:t xml:space="preserve">.</w:t>
      </w:r>
    </w:p>
    <w:bookmarkEnd w:id="91"/>
    <w:bookmarkStart w:id="93"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92">
        <w:r>
          <w:rPr>
            <w:rStyle w:val="Hyperlink"/>
          </w:rPr>
          <w:t xml:space="preserve">https://doi.org/10.1007/s00572-007-0138-1</w:t>
        </w:r>
      </w:hyperlink>
      <w:r>
        <w:t xml:space="preserve">.</w:t>
      </w:r>
    </w:p>
    <w:bookmarkEnd w:id="93"/>
    <w:bookmarkStart w:id="95"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94">
        <w:r>
          <w:rPr>
            <w:rStyle w:val="Hyperlink"/>
          </w:rPr>
          <w:t xml:space="preserve">https://doi.org/10.1111/j.1654-1103.2003.tb02228.x</w:t>
        </w:r>
      </w:hyperlink>
      <w:r>
        <w:t xml:space="preserve">.</w:t>
      </w:r>
    </w:p>
    <w:bookmarkEnd w:id="95"/>
    <w:bookmarkStart w:id="97"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96">
        <w:r>
          <w:rPr>
            <w:rStyle w:val="Hyperlink"/>
          </w:rPr>
          <w:t xml:space="preserve">https://doi.org/10.1111/jbi.13548</w:t>
        </w:r>
      </w:hyperlink>
      <w:r>
        <w:t xml:space="preserve">.</w:t>
      </w:r>
    </w:p>
    <w:bookmarkEnd w:id="97"/>
    <w:bookmarkStart w:id="98"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8"/>
    <w:bookmarkStart w:id="100"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9">
        <w:r>
          <w:rPr>
            <w:rStyle w:val="Hyperlink"/>
          </w:rPr>
          <w:t xml:space="preserve">https://doi.org/10.1146/annurev.ecolsys.110308.120159</w:t>
        </w:r>
      </w:hyperlink>
      <w:r>
        <w:t xml:space="preserve">.</w:t>
      </w:r>
    </w:p>
    <w:bookmarkEnd w:id="100"/>
    <w:bookmarkStart w:id="102"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101">
        <w:r>
          <w:rPr>
            <w:rStyle w:val="Hyperlink"/>
          </w:rPr>
          <w:t xml:space="preserve">https://doi.org/10.1186/s40529-018-0232-z</w:t>
        </w:r>
      </w:hyperlink>
      <w:r>
        <w:t xml:space="preserve">.</w:t>
      </w:r>
    </w:p>
    <w:bookmarkEnd w:id="102"/>
    <w:bookmarkStart w:id="104"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103">
        <w:r>
          <w:rPr>
            <w:rStyle w:val="Hyperlink"/>
          </w:rPr>
          <w:t xml:space="preserve">https://doi.org/10.1093/botlinnean/boy003</w:t>
        </w:r>
      </w:hyperlink>
      <w:r>
        <w:t xml:space="preserve">.</w:t>
      </w:r>
    </w:p>
    <w:bookmarkEnd w:id="104"/>
    <w:bookmarkStart w:id="106"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105">
        <w:r>
          <w:rPr>
            <w:rStyle w:val="Hyperlink"/>
          </w:rPr>
          <w:t xml:space="preserve">https://doi.org/10.1126/science.7770775</w:t>
        </w:r>
      </w:hyperlink>
      <w:r>
        <w:t xml:space="preserve">.</w:t>
      </w:r>
    </w:p>
    <w:bookmarkEnd w:id="106"/>
    <w:bookmarkStart w:id="108"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107">
        <w:r>
          <w:rPr>
            <w:rStyle w:val="Hyperlink"/>
          </w:rPr>
          <w:t xml:space="preserve">https://doi.org/10.1046/j.1469-8137.2003.00872.x</w:t>
        </w:r>
      </w:hyperlink>
      <w:r>
        <w:t xml:space="preserve">.</w:t>
      </w:r>
    </w:p>
    <w:bookmarkEnd w:id="108"/>
    <w:bookmarkStart w:id="110"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9">
        <w:r>
          <w:rPr>
            <w:rStyle w:val="Hyperlink"/>
          </w:rPr>
          <w:t xml:space="preserve">https://doi.org/10.1214/ss/1177011136</w:t>
        </w:r>
      </w:hyperlink>
      <w:r>
        <w:t xml:space="preserve">.</w:t>
      </w:r>
    </w:p>
    <w:bookmarkEnd w:id="110"/>
    <w:bookmarkStart w:id="112"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11">
        <w:r>
          <w:rPr>
            <w:rStyle w:val="Hyperlink"/>
          </w:rPr>
          <w:t xml:space="preserve">https://doi.org/10.3732/ajb.1000486</w:t>
        </w:r>
      </w:hyperlink>
      <w:r>
        <w:t xml:space="preserve">.</w:t>
      </w:r>
    </w:p>
    <w:bookmarkEnd w:id="112"/>
    <w:bookmarkStart w:id="114"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13">
        <w:r>
          <w:rPr>
            <w:rStyle w:val="Hyperlink"/>
          </w:rPr>
          <w:t xml:space="preserve">https://doi.org/10.1111/j.1365-294X.2005.02770.x</w:t>
        </w:r>
      </w:hyperlink>
      <w:r>
        <w:t xml:space="preserve">.</w:t>
      </w:r>
    </w:p>
    <w:bookmarkEnd w:id="114"/>
    <w:bookmarkStart w:id="116"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15">
        <w:r>
          <w:rPr>
            <w:rStyle w:val="Hyperlink"/>
          </w:rPr>
          <w:t xml:space="preserve">https://doi.org/10.1111/jbi.12854</w:t>
        </w:r>
      </w:hyperlink>
      <w:r>
        <w:t xml:space="preserve">.</w:t>
      </w:r>
    </w:p>
    <w:bookmarkEnd w:id="116"/>
    <w:bookmarkStart w:id="118"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17">
        <w:r>
          <w:rPr>
            <w:rStyle w:val="Hyperlink"/>
          </w:rPr>
          <w:t xml:space="preserve">https://doi.org/10.4141/P03-182</w:t>
        </w:r>
      </w:hyperlink>
      <w:r>
        <w:t xml:space="preserve">.</w:t>
      </w:r>
    </w:p>
    <w:bookmarkEnd w:id="118"/>
    <w:bookmarkStart w:id="120"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9">
        <w:r>
          <w:rPr>
            <w:rStyle w:val="Hyperlink"/>
          </w:rPr>
          <w:t xml:space="preserve">https://doi.org/10.1111/mec.13236</w:t>
        </w:r>
      </w:hyperlink>
      <w:r>
        <w:t xml:space="preserve">.</w:t>
      </w:r>
    </w:p>
    <w:bookmarkEnd w:id="120"/>
    <w:bookmarkStart w:id="121"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21"/>
    <w:bookmarkStart w:id="123"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22">
        <w:r>
          <w:rPr>
            <w:rStyle w:val="Hyperlink"/>
          </w:rPr>
          <w:t xml:space="preserve">https://doi.org/10.1126/science.1061457</w:t>
        </w:r>
      </w:hyperlink>
      <w:r>
        <w:t xml:space="preserve">.</w:t>
      </w:r>
    </w:p>
    <w:bookmarkEnd w:id="123"/>
    <w:bookmarkStart w:id="125"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24">
        <w:r>
          <w:rPr>
            <w:rStyle w:val="Hyperlink"/>
          </w:rPr>
          <w:t xml:space="preserve">https://doi.org/10.1007/s40823-016-0008-7</w:t>
        </w:r>
      </w:hyperlink>
      <w:r>
        <w:t xml:space="preserve">.</w:t>
      </w:r>
    </w:p>
    <w:bookmarkEnd w:id="125"/>
    <w:bookmarkStart w:id="127"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26">
        <w:r>
          <w:rPr>
            <w:rStyle w:val="Hyperlink"/>
          </w:rPr>
          <w:t xml:space="preserve">https://doi.org/10.1111/nph.13288</w:t>
        </w:r>
      </w:hyperlink>
      <w:r>
        <w:t xml:space="preserve">.</w:t>
      </w:r>
    </w:p>
    <w:bookmarkEnd w:id="127"/>
    <w:bookmarkStart w:id="129"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8">
        <w:r>
          <w:rPr>
            <w:rStyle w:val="Hyperlink"/>
          </w:rPr>
          <w:t xml:space="preserve">https://doi.org/10.1002/joc.1276</w:t>
        </w:r>
      </w:hyperlink>
      <w:r>
        <w:t xml:space="preserve">.</w:t>
      </w:r>
    </w:p>
    <w:bookmarkEnd w:id="129"/>
    <w:bookmarkStart w:id="130" w:name="ref-hmsc-r2021"/>
    <w:p>
      <w:pPr>
        <w:pStyle w:val="Bibliography"/>
      </w:pPr>
      <w:r>
        <w:t xml:space="preserve">hmsc-r. 2021. “Hmsc-R/HMSC.”</w:t>
      </w:r>
    </w:p>
    <w:bookmarkEnd w:id="130"/>
    <w:bookmarkStart w:id="132"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31">
        <w:r>
          <w:rPr>
            <w:rStyle w:val="Hyperlink"/>
          </w:rPr>
          <w:t xml:space="preserve">https://doi.org/10.1111/nph.12009</w:t>
        </w:r>
      </w:hyperlink>
      <w:r>
        <w:t xml:space="preserve">.</w:t>
      </w:r>
    </w:p>
    <w:bookmarkEnd w:id="132"/>
    <w:bookmarkStart w:id="133"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33"/>
    <w:bookmarkStart w:id="135"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34">
        <w:r>
          <w:rPr>
            <w:rStyle w:val="Hyperlink"/>
          </w:rPr>
          <w:t xml:space="preserve">https://doi.org/10.1016/j.biocon.2004.05.002</w:t>
        </w:r>
      </w:hyperlink>
      <w:r>
        <w:t xml:space="preserve">.</w:t>
      </w:r>
    </w:p>
    <w:bookmarkEnd w:id="135"/>
    <w:bookmarkStart w:id="137"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36">
        <w:r>
          <w:rPr>
            <w:rStyle w:val="Hyperlink"/>
          </w:rPr>
          <w:t xml:space="preserve">https://doi.org/10.1007/978-3-319-56363-3-8</w:t>
        </w:r>
      </w:hyperlink>
      <w:r>
        <w:t xml:space="preserve">.</w:t>
      </w:r>
    </w:p>
    <w:bookmarkEnd w:id="137"/>
    <w:bookmarkStart w:id="139"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8">
        <w:r>
          <w:rPr>
            <w:rStyle w:val="Hyperlink"/>
          </w:rPr>
          <w:t xml:space="preserve">https://doi.org/10.1038/nature05110</w:t>
        </w:r>
      </w:hyperlink>
      <w:r>
        <w:t xml:space="preserve">.</w:t>
      </w:r>
    </w:p>
    <w:bookmarkEnd w:id="139"/>
    <w:bookmarkStart w:id="141"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40">
        <w:r>
          <w:rPr>
            <w:rStyle w:val="Hyperlink"/>
          </w:rPr>
          <w:t xml:space="preserve">https://doi.org/10.1080/15572536.2006.11832616</w:t>
        </w:r>
      </w:hyperlink>
      <w:r>
        <w:t xml:space="preserve">.</w:t>
      </w:r>
    </w:p>
    <w:bookmarkEnd w:id="141"/>
    <w:bookmarkStart w:id="143"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42">
        <w:r>
          <w:rPr>
            <w:rStyle w:val="Hyperlink"/>
          </w:rPr>
          <w:t xml:space="preserve">https://doi.org/10.1046/j.1469-8137.1997.00729.x</w:t>
        </w:r>
      </w:hyperlink>
      <w:r>
        <w:t xml:space="preserve">.</w:t>
      </w:r>
    </w:p>
    <w:bookmarkEnd w:id="143"/>
    <w:bookmarkStart w:id="145"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44">
        <w:r>
          <w:rPr>
            <w:rStyle w:val="Hyperlink"/>
          </w:rPr>
          <w:t xml:space="preserve">https://doi.org/10.1111/j.1469-8137.2005.01364.x</w:t>
        </w:r>
      </w:hyperlink>
      <w:r>
        <w:t xml:space="preserve">.</w:t>
      </w:r>
    </w:p>
    <w:bookmarkEnd w:id="145"/>
    <w:bookmarkStart w:id="147"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46">
        <w:r>
          <w:rPr>
            <w:rStyle w:val="Hyperlink"/>
          </w:rPr>
          <w:t xml:space="preserve">https://doi.org/10.1016/j.biocon.2005.09.046</w:t>
        </w:r>
      </w:hyperlink>
      <w:r>
        <w:t xml:space="preserve">.</w:t>
      </w:r>
    </w:p>
    <w:bookmarkEnd w:id="147"/>
    <w:bookmarkStart w:id="149"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8">
        <w:r>
          <w:rPr>
            <w:rStyle w:val="Hyperlink"/>
          </w:rPr>
          <w:t xml:space="preserve">https://doi.org/10.1002/ece3.2363</w:t>
        </w:r>
      </w:hyperlink>
      <w:r>
        <w:t xml:space="preserve">.</w:t>
      </w:r>
    </w:p>
    <w:bookmarkEnd w:id="149"/>
    <w:bookmarkStart w:id="151"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50">
        <w:r>
          <w:rPr>
            <w:rStyle w:val="Hyperlink"/>
          </w:rPr>
          <w:t xml:space="preserve">https://doi.org/10.1139/b04-060</w:t>
        </w:r>
      </w:hyperlink>
      <w:r>
        <w:t xml:space="preserve">.</w:t>
      </w:r>
    </w:p>
    <w:bookmarkEnd w:id="151"/>
    <w:bookmarkStart w:id="153"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52">
        <w:r>
          <w:rPr>
            <w:rStyle w:val="Hyperlink"/>
          </w:rPr>
          <w:t xml:space="preserve">https://doi.org/10.1111/j.1469-8137.1994.tb04272.x</w:t>
        </w:r>
      </w:hyperlink>
      <w:r>
        <w:t xml:space="preserve">.</w:t>
      </w:r>
    </w:p>
    <w:bookmarkEnd w:id="153"/>
    <w:bookmarkStart w:id="155"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54">
        <w:r>
          <w:rPr>
            <w:rStyle w:val="Hyperlink"/>
          </w:rPr>
          <w:t xml:space="preserve">https://doi.org/10.1093/molbev/msm193</w:t>
        </w:r>
      </w:hyperlink>
      <w:r>
        <w:t xml:space="preserve">.</w:t>
      </w:r>
    </w:p>
    <w:bookmarkEnd w:id="155"/>
    <w:bookmarkStart w:id="157"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56">
        <w:r>
          <w:rPr>
            <w:rStyle w:val="Hyperlink"/>
          </w:rPr>
          <w:t xml:space="preserve">https://doi.org/10.1093/bioinformatics/17.3.282</w:t>
        </w:r>
      </w:hyperlink>
      <w:r>
        <w:t xml:space="preserve">.</w:t>
      </w:r>
    </w:p>
    <w:bookmarkEnd w:id="157"/>
    <w:bookmarkStart w:id="159"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8">
        <w:r>
          <w:rPr>
            <w:rStyle w:val="Hyperlink"/>
          </w:rPr>
          <w:t xml:space="preserve">https://doi.org/10.1016/j.mimet.2009.11.004</w:t>
        </w:r>
      </w:hyperlink>
      <w:r>
        <w:t xml:space="preserve">.</w:t>
      </w:r>
    </w:p>
    <w:bookmarkEnd w:id="159"/>
    <w:bookmarkStart w:id="161"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60">
        <w:r>
          <w:rPr>
            <w:rStyle w:val="Hyperlink"/>
          </w:rPr>
          <w:t xml:space="preserve">https://doi.org/10.1890/0012-9658(2002)083[0104:BEFCCO]2.0.CO;2</w:t>
        </w:r>
      </w:hyperlink>
      <w:r>
        <w:t xml:space="preserve">.</w:t>
      </w:r>
    </w:p>
    <w:bookmarkEnd w:id="161"/>
    <w:bookmarkStart w:id="163"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62">
        <w:r>
          <w:rPr>
            <w:rStyle w:val="Hyperlink"/>
          </w:rPr>
          <w:t xml:space="preserve">https://doi.org/10.1038/s41586-019-1217-0</w:t>
        </w:r>
      </w:hyperlink>
      <w:r>
        <w:t xml:space="preserve">.</w:t>
      </w:r>
    </w:p>
    <w:bookmarkEnd w:id="163"/>
    <w:bookmarkStart w:id="165"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64">
        <w:r>
          <w:rPr>
            <w:rStyle w:val="Hyperlink"/>
          </w:rPr>
          <w:t xml:space="preserve">https://doi.org/10.3852/09-016</w:t>
        </w:r>
      </w:hyperlink>
      <w:r>
        <w:t xml:space="preserve">.</w:t>
      </w:r>
    </w:p>
    <w:bookmarkEnd w:id="165"/>
    <w:bookmarkStart w:id="167"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66">
        <w:r>
          <w:rPr>
            <w:rStyle w:val="Hyperlink"/>
          </w:rPr>
          <w:t xml:space="preserve">https://doi.org/10.1073/pnas.77.4.2113</w:t>
        </w:r>
      </w:hyperlink>
      <w:r>
        <w:t xml:space="preserve">.</w:t>
      </w:r>
    </w:p>
    <w:bookmarkEnd w:id="167"/>
    <w:bookmarkStart w:id="169"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8">
        <w:r>
          <w:rPr>
            <w:rStyle w:val="Hyperlink"/>
          </w:rPr>
          <w:t xml:space="preserve">https://doi.org/10.1111/j.1469-8137.2004.01114.x</w:t>
        </w:r>
      </w:hyperlink>
      <w:r>
        <w:t xml:space="preserve">.</w:t>
      </w:r>
    </w:p>
    <w:bookmarkEnd w:id="169"/>
    <w:bookmarkStart w:id="171" w:name="ref-meng2019"/>
    <w:p>
      <w:pPr>
        <w:pStyle w:val="Bibliography"/>
      </w:pPr>
      <w:r>
        <w:t xml:space="preserve">Meng, Yuan-Yuan, Wen-Liu Zhang, Marc-André Selosse, and Jiang-Yun Gao. 2019. “Are Fungi from Adult Orchid Roots the Best Symbionts at Germination? A Case Study.”</w:t>
      </w:r>
      <w:r>
        <w:t xml:space="preserve"> </w:t>
      </w:r>
      <w:r>
        <w:rPr>
          <w:i/>
        </w:rPr>
        <w:t xml:space="preserve">Mycorrhiza</w:t>
      </w:r>
      <w:r>
        <w:t xml:space="preserve"> </w:t>
      </w:r>
      <w:r>
        <w:t xml:space="preserve">29 (5): 541–47.</w:t>
      </w:r>
      <w:r>
        <w:t xml:space="preserve"> </w:t>
      </w:r>
      <w:hyperlink r:id="rId170">
        <w:r>
          <w:rPr>
            <w:rStyle w:val="Hyperlink"/>
          </w:rPr>
          <w:t xml:space="preserve">https://doi.org/10.1007/s00572-019-00907-0</w:t>
        </w:r>
      </w:hyperlink>
      <w:r>
        <w:t xml:space="preserve">.</w:t>
      </w:r>
    </w:p>
    <w:bookmarkEnd w:id="171"/>
    <w:bookmarkStart w:id="172"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72"/>
    <w:bookmarkStart w:id="173"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73"/>
    <w:bookmarkStart w:id="175"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74">
        <w:r>
          <w:rPr>
            <w:rStyle w:val="Hyperlink"/>
          </w:rPr>
          <w:t xml:space="preserve">https://doi.org/10.1007/978-3-319-56363-3_12</w:t>
        </w:r>
      </w:hyperlink>
      <w:r>
        <w:t xml:space="preserve">.</w:t>
      </w:r>
    </w:p>
    <w:bookmarkEnd w:id="175"/>
    <w:bookmarkStart w:id="177"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76">
        <w:r>
          <w:rPr>
            <w:rStyle w:val="Hyperlink"/>
          </w:rPr>
          <w:t xml:space="preserve">https://doi.org/10.1093/bioinformatics/bts091</w:t>
        </w:r>
      </w:hyperlink>
      <w:r>
        <w:t xml:space="preserve">.</w:t>
      </w:r>
    </w:p>
    <w:bookmarkEnd w:id="177"/>
    <w:bookmarkStart w:id="178"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78"/>
    <w:bookmarkStart w:id="180"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79">
        <w:r>
          <w:rPr>
            <w:rStyle w:val="Hyperlink"/>
          </w:rPr>
          <w:t xml:space="preserve">https://doi.org/10.1111/ele.12757</w:t>
        </w:r>
      </w:hyperlink>
      <w:r>
        <w:t xml:space="preserve">.</w:t>
      </w:r>
    </w:p>
    <w:bookmarkEnd w:id="180"/>
    <w:bookmarkStart w:id="182"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81">
        <w:r>
          <w:rPr>
            <w:rStyle w:val="Hyperlink"/>
          </w:rPr>
          <w:t xml:space="preserve">https://doi.org/10.1016/j.landusepol.2011.07.003</w:t>
        </w:r>
      </w:hyperlink>
      <w:r>
        <w:t xml:space="preserve">.</w:t>
      </w:r>
    </w:p>
    <w:bookmarkEnd w:id="182"/>
    <w:bookmarkStart w:id="184"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83">
        <w:r>
          <w:rPr>
            <w:rStyle w:val="Hyperlink"/>
          </w:rPr>
          <w:t xml:space="preserve">https://doi.org/10.1016/S0304-3800(00)00322-7</w:t>
        </w:r>
      </w:hyperlink>
      <w:r>
        <w:t xml:space="preserve">.</w:t>
      </w:r>
    </w:p>
    <w:bookmarkEnd w:id="184"/>
    <w:bookmarkStart w:id="186"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85">
        <w:r>
          <w:rPr>
            <w:rStyle w:val="Hyperlink"/>
          </w:rPr>
          <w:t xml:space="preserve">https://doi.org/10.2478/s11535-012-0071-y</w:t>
        </w:r>
      </w:hyperlink>
      <w:r>
        <w:t xml:space="preserve">.</w:t>
      </w:r>
    </w:p>
    <w:bookmarkEnd w:id="186"/>
    <w:bookmarkStart w:id="188"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87">
        <w:r>
          <w:rPr>
            <w:rStyle w:val="Hyperlink"/>
          </w:rPr>
          <w:t xml:space="preserve">https://doi.org/10.5091/plecevo.2013.782</w:t>
        </w:r>
      </w:hyperlink>
      <w:r>
        <w:t xml:space="preserve">.</w:t>
      </w:r>
    </w:p>
    <w:bookmarkEnd w:id="188"/>
    <w:bookmarkStart w:id="190"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89">
        <w:r>
          <w:rPr>
            <w:rStyle w:val="Hyperlink"/>
          </w:rPr>
          <w:t xml:space="preserve">https://doi.org/10.1007/s13213-015-1038-9</w:t>
        </w:r>
      </w:hyperlink>
      <w:r>
        <w:t xml:space="preserve">.</w:t>
      </w:r>
    </w:p>
    <w:bookmarkEnd w:id="190"/>
    <w:bookmarkStart w:id="192"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91">
        <w:r>
          <w:rPr>
            <w:rStyle w:val="Hyperlink"/>
          </w:rPr>
          <w:t xml:space="preserve">https://doi.org/10.1111/jse.12238</w:t>
        </w:r>
      </w:hyperlink>
      <w:r>
        <w:t xml:space="preserve">.</w:t>
      </w:r>
    </w:p>
    <w:bookmarkEnd w:id="192"/>
    <w:bookmarkStart w:id="194"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93">
        <w:r>
          <w:rPr>
            <w:rStyle w:val="Hyperlink"/>
          </w:rPr>
          <w:t xml:space="preserve">https://doi.org/10.1016/0303-2647(75)90023-4</w:t>
        </w:r>
      </w:hyperlink>
      <w:r>
        <w:t xml:space="preserve">.</w:t>
      </w:r>
    </w:p>
    <w:bookmarkEnd w:id="194"/>
    <w:bookmarkStart w:id="196"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95">
        <w:r>
          <w:rPr>
            <w:rStyle w:val="Hyperlink"/>
          </w:rPr>
          <w:t xml:space="preserve">https://doi.org/10.1111/2041-210X.12180</w:t>
        </w:r>
      </w:hyperlink>
      <w:r>
        <w:t xml:space="preserve">.</w:t>
      </w:r>
    </w:p>
    <w:bookmarkEnd w:id="196"/>
    <w:bookmarkStart w:id="198" w:name="ref-powers2019"/>
    <w:p>
      <w:pPr>
        <w:pStyle w:val="Bibliography"/>
      </w:pPr>
      <w:r>
        <w:t xml:space="preserve">Powers, Stephen M., and Stephanie E. Hampton. 2019. “Open Science, Reproducibility, and Transparency in Ecology.”</w:t>
      </w:r>
      <w:r>
        <w:t xml:space="preserve"> </w:t>
      </w:r>
      <w:r>
        <w:rPr>
          <w:i/>
        </w:rPr>
        <w:t xml:space="preserve">Ecological Applications</w:t>
      </w:r>
      <w:r>
        <w:t xml:space="preserve"> </w:t>
      </w:r>
      <w:r>
        <w:t xml:space="preserve">29 (1): e01822.</w:t>
      </w:r>
      <w:r>
        <w:t xml:space="preserve"> </w:t>
      </w:r>
      <w:hyperlink r:id="rId197">
        <w:r>
          <w:rPr>
            <w:rStyle w:val="Hyperlink"/>
          </w:rPr>
          <w:t xml:space="preserve">https://doi.org/10.1002/eap.1822</w:t>
        </w:r>
      </w:hyperlink>
      <w:r>
        <w:t xml:space="preserve">.</w:t>
      </w:r>
    </w:p>
    <w:bookmarkEnd w:id="198"/>
    <w:bookmarkStart w:id="200"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99">
        <w:r>
          <w:rPr>
            <w:rStyle w:val="Hyperlink"/>
          </w:rPr>
          <w:t xml:space="preserve">https://doi.org/10.1038/nature06039</w:t>
        </w:r>
      </w:hyperlink>
      <w:r>
        <w:t xml:space="preserve">.</w:t>
      </w:r>
    </w:p>
    <w:bookmarkEnd w:id="200"/>
    <w:bookmarkStart w:id="201"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201"/>
    <w:bookmarkStart w:id="202"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202"/>
    <w:bookmarkStart w:id="204"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203">
        <w:r>
          <w:rPr>
            <w:rStyle w:val="Hyperlink"/>
          </w:rPr>
          <w:t xml:space="preserve">https://doi.org/10.1111/j.1095-8339.1998.tb02515.x</w:t>
        </w:r>
      </w:hyperlink>
      <w:r>
        <w:t xml:space="preserve">.</w:t>
      </w:r>
    </w:p>
    <w:bookmarkEnd w:id="204"/>
    <w:bookmarkStart w:id="205"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205"/>
    <w:bookmarkStart w:id="207"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206">
        <w:r>
          <w:rPr>
            <w:rStyle w:val="Hyperlink"/>
          </w:rPr>
          <w:t xml:space="preserve">https://doi.org/10.1126/science.289.5486.1920</w:t>
        </w:r>
      </w:hyperlink>
      <w:r>
        <w:t xml:space="preserve">.</w:t>
      </w:r>
    </w:p>
    <w:bookmarkEnd w:id="207"/>
    <w:bookmarkStart w:id="208"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208"/>
    <w:bookmarkStart w:id="210"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209">
        <w:r>
          <w:rPr>
            <w:rStyle w:val="Hyperlink"/>
          </w:rPr>
          <w:t xml:space="preserve">https://doi.org/10.1007/978-3-540-38364-2_6</w:t>
        </w:r>
      </w:hyperlink>
      <w:r>
        <w:t xml:space="preserve">.</w:t>
      </w:r>
    </w:p>
    <w:bookmarkEnd w:id="210"/>
    <w:bookmarkStart w:id="212"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11">
        <w:r>
          <w:rPr>
            <w:rStyle w:val="Hyperlink"/>
          </w:rPr>
          <w:t xml:space="preserve">https://doi.org/10.1093/aob/mcn269</w:t>
        </w:r>
      </w:hyperlink>
      <w:r>
        <w:t xml:space="preserve">.</w:t>
      </w:r>
    </w:p>
    <w:bookmarkEnd w:id="212"/>
    <w:bookmarkStart w:id="214"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13">
        <w:r>
          <w:rPr>
            <w:rStyle w:val="Hyperlink"/>
          </w:rPr>
          <w:t xml:space="preserve">https://doi.org/10.3732/ajb.0900303</w:t>
        </w:r>
      </w:hyperlink>
      <w:r>
        <w:t xml:space="preserve">.</w:t>
      </w:r>
    </w:p>
    <w:bookmarkEnd w:id="214"/>
    <w:bookmarkStart w:id="216"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15">
        <w:r>
          <w:rPr>
            <w:rStyle w:val="Hyperlink"/>
          </w:rPr>
          <w:t xml:space="preserve">https://doi.org/10.1007/s00248-003-2034-3</w:t>
        </w:r>
      </w:hyperlink>
      <w:r>
        <w:t xml:space="preserve">.</w:t>
      </w:r>
    </w:p>
    <w:bookmarkEnd w:id="216"/>
    <w:bookmarkStart w:id="218"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17">
        <w:r>
          <w:rPr>
            <w:rStyle w:val="Hyperlink"/>
          </w:rPr>
          <w:t xml:space="preserve">https://doi.org/10.1016/S0169-5347(97)01230-5</w:t>
        </w:r>
      </w:hyperlink>
      <w:r>
        <w:t xml:space="preserve">.</w:t>
      </w:r>
    </w:p>
    <w:bookmarkEnd w:id="218"/>
    <w:bookmarkStart w:id="220"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19">
        <w:r>
          <w:rPr>
            <w:rStyle w:val="Hyperlink"/>
          </w:rPr>
          <w:t xml:space="preserve">https://doi.org/10.1007/s13199-011-0131-5</w:t>
        </w:r>
      </w:hyperlink>
      <w:r>
        <w:t xml:space="preserve">.</w:t>
      </w:r>
    </w:p>
    <w:bookmarkEnd w:id="220"/>
    <w:bookmarkStart w:id="222"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21">
        <w:r>
          <w:rPr>
            <w:rStyle w:val="Hyperlink"/>
          </w:rPr>
          <w:t xml:space="preserve">https://doi.org/10.1016/j.tplants.2014.09.005</w:t>
        </w:r>
      </w:hyperlink>
      <w:r>
        <w:t xml:space="preserve">.</w:t>
      </w:r>
    </w:p>
    <w:bookmarkEnd w:id="222"/>
    <w:bookmarkStart w:id="224"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23">
        <w:r>
          <w:rPr>
            <w:rStyle w:val="Hyperlink"/>
          </w:rPr>
          <w:t xml:space="preserve">https://doi.org/10.1016/j.tplants.2008.11.004</w:t>
        </w:r>
      </w:hyperlink>
      <w:r>
        <w:t xml:space="preserve">.</w:t>
      </w:r>
    </w:p>
    <w:bookmarkEnd w:id="224"/>
    <w:bookmarkStart w:id="226"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25">
        <w:r>
          <w:rPr>
            <w:rStyle w:val="Hyperlink"/>
          </w:rPr>
          <w:t xml:space="preserve">https://doi.org/10.3732/ajb.95.2.156</w:t>
        </w:r>
      </w:hyperlink>
      <w:r>
        <w:t xml:space="preserve">.</w:t>
      </w:r>
    </w:p>
    <w:bookmarkEnd w:id="226"/>
    <w:bookmarkStart w:id="228"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27">
        <w:r>
          <w:rPr>
            <w:rStyle w:val="Hyperlink"/>
          </w:rPr>
          <w:t xml:space="preserve">https://doi.org/10.1126/science.aaf8287</w:t>
        </w:r>
      </w:hyperlink>
      <w:r>
        <w:t xml:space="preserve">.</w:t>
      </w:r>
    </w:p>
    <w:bookmarkEnd w:id="228"/>
    <w:bookmarkStart w:id="230"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29">
        <w:r>
          <w:rPr>
            <w:rStyle w:val="Hyperlink"/>
          </w:rPr>
          <w:t xml:space="preserve">https://doi.org/10.1093/molbev/msj011</w:t>
        </w:r>
      </w:hyperlink>
      <w:r>
        <w:t xml:space="preserve">.</w:t>
      </w:r>
    </w:p>
    <w:bookmarkEnd w:id="230"/>
    <w:bookmarkStart w:id="232"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31">
        <w:r>
          <w:rPr>
            <w:rStyle w:val="Hyperlink"/>
          </w:rPr>
          <w:t xml:space="preserve">https://doi.org/10.1111/nph.15076</w:t>
        </w:r>
      </w:hyperlink>
      <w:r>
        <w:t xml:space="preserve">.</w:t>
      </w:r>
    </w:p>
    <w:bookmarkEnd w:id="232"/>
    <w:bookmarkStart w:id="234"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33">
        <w:r>
          <w:rPr>
            <w:rStyle w:val="Hyperlink"/>
          </w:rPr>
          <w:t xml:space="preserve">https://doi.org/10.1098/rspb.2003.2557</w:t>
        </w:r>
      </w:hyperlink>
      <w:r>
        <w:t xml:space="preserve">.</w:t>
      </w:r>
    </w:p>
    <w:bookmarkEnd w:id="234"/>
    <w:bookmarkStart w:id="236"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35">
        <w:r>
          <w:rPr>
            <w:rStyle w:val="Hyperlink"/>
          </w:rPr>
          <w:t xml:space="preserve">https://doi.org/10.2307/2446290</w:t>
        </w:r>
      </w:hyperlink>
      <w:r>
        <w:t xml:space="preserve">.</w:t>
      </w:r>
    </w:p>
    <w:bookmarkEnd w:id="236"/>
    <w:bookmarkStart w:id="238"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37">
        <w:r>
          <w:rPr>
            <w:rStyle w:val="Hyperlink"/>
          </w:rPr>
          <w:t xml:space="preserve">https://doi.org/10.1111/mec.13088</w:t>
        </w:r>
      </w:hyperlink>
      <w:r>
        <w:t xml:space="preserve">.</w:t>
      </w:r>
    </w:p>
    <w:bookmarkEnd w:id="238"/>
    <w:bookmarkStart w:id="240"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39">
        <w:r>
          <w:rPr>
            <w:rStyle w:val="Hyperlink"/>
          </w:rPr>
          <w:t xml:space="preserve">https://doi.org/10.1111/2041-210X.12723</w:t>
        </w:r>
      </w:hyperlink>
      <w:r>
        <w:t xml:space="preserve">.</w:t>
      </w:r>
    </w:p>
    <w:bookmarkEnd w:id="240"/>
    <w:bookmarkStart w:id="242"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41">
        <w:r>
          <w:rPr>
            <w:rStyle w:val="Hyperlink"/>
          </w:rPr>
          <w:t xml:space="preserve">https://doi.org/10.1111/2041-210X.13345</w:t>
        </w:r>
      </w:hyperlink>
      <w:r>
        <w:t xml:space="preserve">.</w:t>
      </w:r>
    </w:p>
    <w:bookmarkEnd w:id="242"/>
    <w:bookmarkStart w:id="244"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43">
        <w:r>
          <w:rPr>
            <w:rStyle w:val="Hyperlink"/>
          </w:rPr>
          <w:t xml:space="preserve">https://doi.org/10.1198/tast.2009.08210</w:t>
        </w:r>
      </w:hyperlink>
      <w:r>
        <w:t xml:space="preserve">.</w:t>
      </w:r>
    </w:p>
    <w:bookmarkEnd w:id="244"/>
    <w:bookmarkStart w:id="245" w:name="ref-tnt"/>
    <w:p>
      <w:pPr>
        <w:pStyle w:val="Bibliography"/>
      </w:pPr>
      <w:r>
        <w:t xml:space="preserve">“TNT, a Free Program for Phylogenetic Analysis - Goloboff - 2008 - Cladistics - Wiley Online Library.” n.d. https://onlinelibrary.wiley.com/doi/full/10.1111/j.1096-0031.2008.00217.x.</w:t>
      </w:r>
    </w:p>
    <w:bookmarkEnd w:id="245"/>
    <w:bookmarkStart w:id="246" w:name="ref-trappe1987"/>
    <w:p>
      <w:pPr>
        <w:pStyle w:val="Bibliography"/>
      </w:pPr>
      <w:r>
        <w:t xml:space="preserve">Trappe, J. M., and G. R. Safir. 1987. “Ecophysiology of VA Mycorrhizal Plants.” CRC Press.</w:t>
      </w:r>
    </w:p>
    <w:bookmarkEnd w:id="246"/>
    <w:bookmarkStart w:id="248"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47">
        <w:r>
          <w:rPr>
            <w:rStyle w:val="Hyperlink"/>
          </w:rPr>
          <w:t xml:space="preserve">https://doi.org/10.1016/j.funeco.2013.03.004</w:t>
        </w:r>
      </w:hyperlink>
      <w:r>
        <w:t xml:space="preserve">.</w:t>
      </w:r>
    </w:p>
    <w:bookmarkEnd w:id="248"/>
    <w:bookmarkStart w:id="250"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49">
        <w:r>
          <w:rPr>
            <w:rStyle w:val="Hyperlink"/>
          </w:rPr>
          <w:t xml:space="preserve">https://doi.org/10.1007/s00572-005-0033-6</w:t>
        </w:r>
      </w:hyperlink>
      <w:r>
        <w:t xml:space="preserve">.</w:t>
      </w:r>
    </w:p>
    <w:bookmarkEnd w:id="250"/>
    <w:bookmarkStart w:id="251"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51"/>
    <w:bookmarkStart w:id="253"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52">
        <w:r>
          <w:rPr>
            <w:rStyle w:val="Hyperlink"/>
          </w:rPr>
          <w:t xml:space="preserve">https://doi.org/10.1016/j.tree.2015.09.007</w:t>
        </w:r>
      </w:hyperlink>
      <w:r>
        <w:t xml:space="preserve">.</w:t>
      </w:r>
    </w:p>
    <w:bookmarkEnd w:id="253"/>
    <w:bookmarkStart w:id="255"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54">
        <w:r>
          <w:rPr>
            <w:rStyle w:val="Hyperlink"/>
          </w:rPr>
          <w:t xml:space="preserve">https://doi.org/10.1086/657955</w:t>
        </w:r>
      </w:hyperlink>
      <w:r>
        <w:t xml:space="preserve">.</w:t>
      </w:r>
    </w:p>
    <w:bookmarkEnd w:id="255"/>
    <w:bookmarkStart w:id="257"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56">
        <w:r>
          <w:rPr>
            <w:rStyle w:val="Hyperlink"/>
          </w:rPr>
          <w:t xml:space="preserve">https://doi.org/10.1111/j.1365-294X.2008.03742.x</w:t>
        </w:r>
      </w:hyperlink>
      <w:r>
        <w:t xml:space="preserve">.</w:t>
      </w:r>
    </w:p>
    <w:bookmarkEnd w:id="257"/>
    <w:bookmarkStart w:id="259"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58">
        <w:r>
          <w:rPr>
            <w:rStyle w:val="Hyperlink"/>
          </w:rPr>
          <w:t xml:space="preserve">https://doi.org/10.1017/S0953756204000772</w:t>
        </w:r>
      </w:hyperlink>
      <w:r>
        <w:t xml:space="preserve">.</w:t>
      </w:r>
    </w:p>
    <w:bookmarkEnd w:id="259"/>
    <w:bookmarkStart w:id="261"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60">
        <w:r>
          <w:rPr>
            <w:rStyle w:val="Hyperlink"/>
          </w:rPr>
          <w:t xml:space="preserve">https://doi.org/10.1111/nph.13977</w:t>
        </w:r>
      </w:hyperlink>
      <w:r>
        <w:t xml:space="preserve">.</w:t>
      </w:r>
    </w:p>
    <w:bookmarkEnd w:id="261"/>
    <w:bookmarkStart w:id="262"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62"/>
    <w:bookmarkEnd w:id="2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97" Target="https://doi.org/10.1002/eap.1822" TargetMode="External"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9"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5" Target="https://doi.org/10.1007/s00248-003-2034-3" TargetMode="External" /><Relationship Type="http://schemas.openxmlformats.org/officeDocument/2006/relationships/hyperlink" Id="rId249"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9"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7"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7"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3" Target="https://doi.org/10.1016/j.tplants.2008.11.004" TargetMode="External" /><Relationship Type="http://schemas.openxmlformats.org/officeDocument/2006/relationships/hyperlink" Id="rId221" Target="https://doi.org/10.1016/j.tplants.2014.09.005" TargetMode="External" /><Relationship Type="http://schemas.openxmlformats.org/officeDocument/2006/relationships/hyperlink" Id="rId252" Target="https://doi.org/10.1016/j.tree.2015.09.007" TargetMode="External" /><Relationship Type="http://schemas.openxmlformats.org/officeDocument/2006/relationships/hyperlink" Id="rId258"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9"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4" Target="https://doi.org/10.1086/657955" TargetMode="External" /><Relationship Type="http://schemas.openxmlformats.org/officeDocument/2006/relationships/hyperlink" Id="rId211"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9"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3"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9" Target="https://doi.org/10.1111/2041-210X.12723" TargetMode="External" /><Relationship Type="http://schemas.openxmlformats.org/officeDocument/2006/relationships/hyperlink" Id="rId241"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3"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6"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7"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60" Target="https://doi.org/10.1111/nph.13977" TargetMode="External" /><Relationship Type="http://schemas.openxmlformats.org/officeDocument/2006/relationships/hyperlink" Id="rId231"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6"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7"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3"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5"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3"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5"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97" Target="https://doi.org/10.1002/eap.1822" TargetMode="External"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9"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5" Target="https://doi.org/10.1007/s00248-003-2034-3" TargetMode="External" /><Relationship Type="http://schemas.openxmlformats.org/officeDocument/2006/relationships/hyperlink" Id="rId249"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9"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7"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7"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3" Target="https://doi.org/10.1016/j.tplants.2008.11.004" TargetMode="External" /><Relationship Type="http://schemas.openxmlformats.org/officeDocument/2006/relationships/hyperlink" Id="rId221" Target="https://doi.org/10.1016/j.tplants.2014.09.005" TargetMode="External" /><Relationship Type="http://schemas.openxmlformats.org/officeDocument/2006/relationships/hyperlink" Id="rId252" Target="https://doi.org/10.1016/j.tree.2015.09.007" TargetMode="External" /><Relationship Type="http://schemas.openxmlformats.org/officeDocument/2006/relationships/hyperlink" Id="rId258"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9"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4" Target="https://doi.org/10.1086/657955" TargetMode="External" /><Relationship Type="http://schemas.openxmlformats.org/officeDocument/2006/relationships/hyperlink" Id="rId211"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9"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3"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9" Target="https://doi.org/10.1111/2041-210X.12723" TargetMode="External" /><Relationship Type="http://schemas.openxmlformats.org/officeDocument/2006/relationships/hyperlink" Id="rId241"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3"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6"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7"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60" Target="https://doi.org/10.1111/nph.13977" TargetMode="External" /><Relationship Type="http://schemas.openxmlformats.org/officeDocument/2006/relationships/hyperlink" Id="rId231"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6"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7"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3"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5"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3"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5"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2021-03-09T19:25:56Z</dcterms:created>
  <dcterms:modified xsi:type="dcterms:W3CDTF">2021-03-09T19:25:56Z</dcterms:modified>
</cp:coreProperties>
</file>